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ind w:left="0" w:firstLine="0"/>
        <w:rPr/>
      </w:pPr>
      <w:bookmarkStart w:colFirst="0" w:colLast="0" w:name="_fym6eggelb8l" w:id="0"/>
      <w:bookmarkEnd w:id="0"/>
      <w:r w:rsidDel="00000000" w:rsidR="00000000" w:rsidRPr="00000000">
        <w:rPr>
          <w:rtl w:val="0"/>
        </w:rPr>
        <w:t xml:space="preserve">Information for Contributors</w:t>
      </w:r>
    </w:p>
    <w:p w:rsidR="00000000" w:rsidDel="00000000" w:rsidP="00000000" w:rsidRDefault="00000000" w:rsidRPr="00000000" w14:paraId="00000002">
      <w:pPr>
        <w:pStyle w:val="Heading1"/>
        <w:ind w:left="0" w:firstLine="0"/>
        <w:rPr/>
      </w:pPr>
      <w:bookmarkStart w:colFirst="0" w:colLast="0" w:name="_aub1eey7xfyv" w:id="1"/>
      <w:bookmarkEnd w:id="1"/>
      <w:r w:rsidDel="00000000" w:rsidR="00000000" w:rsidRPr="00000000">
        <w:rPr>
          <w:rtl w:val="0"/>
        </w:rPr>
        <w:t xml:space="preserve">Overview</w:t>
      </w:r>
    </w:p>
    <w:p w:rsidR="00000000" w:rsidDel="00000000" w:rsidP="00000000" w:rsidRDefault="00000000" w:rsidRPr="00000000" w14:paraId="00000003">
      <w:pPr>
        <w:rPr/>
      </w:pPr>
      <w:r w:rsidDel="00000000" w:rsidR="00000000" w:rsidRPr="00000000">
        <w:rPr>
          <w:rtl w:val="0"/>
        </w:rPr>
        <w:t xml:space="preserve">The </w:t>
      </w:r>
      <w:r w:rsidDel="00000000" w:rsidR="00000000" w:rsidRPr="00000000">
        <w:rPr>
          <w:i w:val="1"/>
          <w:rtl w:val="0"/>
        </w:rPr>
        <w:t xml:space="preserve">Debates in the Digital Humanities</w:t>
      </w:r>
      <w:r w:rsidDel="00000000" w:rsidR="00000000" w:rsidRPr="00000000">
        <w:rPr>
          <w:rtl w:val="0"/>
        </w:rPr>
        <w:t xml:space="preserve"> (</w:t>
      </w:r>
      <w:r w:rsidDel="00000000" w:rsidR="00000000" w:rsidRPr="00000000">
        <w:rPr>
          <w:i w:val="1"/>
          <w:rtl w:val="0"/>
        </w:rPr>
        <w:t xml:space="preserve">DDH</w:t>
      </w:r>
      <w:r w:rsidDel="00000000" w:rsidR="00000000" w:rsidRPr="00000000">
        <w:rPr>
          <w:rtl w:val="0"/>
        </w:rPr>
        <w:t xml:space="preserve">) series focuses on topics of pressing interest to the field of digital humanities (DH) as they emerge. We publish original essays that advance arguments about key issues and that engage current debates in DH. We do not publish case studies. The </w:t>
      </w:r>
      <w:r w:rsidDel="00000000" w:rsidR="00000000" w:rsidRPr="00000000">
        <w:rPr>
          <w:i w:val="1"/>
          <w:rtl w:val="0"/>
        </w:rPr>
        <w:t xml:space="preserve">DDH </w:t>
      </w:r>
      <w:r w:rsidDel="00000000" w:rsidR="00000000" w:rsidRPr="00000000">
        <w:rPr>
          <w:rtl w:val="0"/>
        </w:rPr>
        <w:t xml:space="preserve">series includes two types of books: general volumes that highlight pressing issues in the field and special volumes on topics of pressing interest. Our readership is interdisciplinary and international, and volume themes (and the essays they include) must engage that broad audience. </w:t>
      </w:r>
      <w:r w:rsidDel="00000000" w:rsidR="00000000" w:rsidRPr="00000000">
        <w:rPr>
          <w:rtl w:val="0"/>
        </w:rPr>
        <w:t xml:space="preserve">Because we share with our publisher, the University of Minnesota Press, a commitment to open </w:t>
      </w:r>
      <w:r w:rsidDel="00000000" w:rsidR="00000000" w:rsidRPr="00000000">
        <w:rPr>
          <w:rtl w:val="0"/>
        </w:rPr>
        <w:t xml:space="preserve">and experimental digital scholarship, we publish an online interactive version of each book on </w:t>
      </w:r>
      <w:hyperlink r:id="rId6">
        <w:r w:rsidDel="00000000" w:rsidR="00000000" w:rsidRPr="00000000">
          <w:rPr>
            <w:color w:val="1155cc"/>
            <w:u w:val="single"/>
            <w:rtl w:val="0"/>
          </w:rPr>
          <w:t xml:space="preserve">the DDH Manifold platform</w:t>
        </w:r>
      </w:hyperlink>
      <w:r w:rsidDel="00000000" w:rsidR="00000000" w:rsidRPr="00000000">
        <w:rPr>
          <w:rtl w:val="0"/>
        </w:rPr>
        <w:t xml:space="preserve"> three months after print publication.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40"/>
          <w:szCs w:val="40"/>
        </w:rPr>
      </w:pPr>
      <w:r w:rsidDel="00000000" w:rsidR="00000000" w:rsidRPr="00000000">
        <w:rPr>
          <w:sz w:val="40"/>
          <w:szCs w:val="40"/>
          <w:rtl w:val="0"/>
        </w:rPr>
        <w:t xml:space="preserve">Peer Review</w:t>
      </w:r>
    </w:p>
    <w:p w:rsidR="00000000" w:rsidDel="00000000" w:rsidP="00000000" w:rsidRDefault="00000000" w:rsidRPr="00000000" w14:paraId="00000006">
      <w:pPr>
        <w:rPr/>
      </w:pPr>
      <w:r w:rsidDel="00000000" w:rsidR="00000000" w:rsidRPr="00000000">
        <w:rPr>
          <w:rtl w:val="0"/>
        </w:rPr>
        <w:t xml:space="preserve">One of the distinctive features of</w:t>
      </w:r>
      <w:r w:rsidDel="00000000" w:rsidR="00000000" w:rsidRPr="00000000">
        <w:rPr>
          <w:i w:val="1"/>
          <w:rtl w:val="0"/>
        </w:rPr>
        <w:t xml:space="preserve"> </w:t>
      </w:r>
      <w:r w:rsidDel="00000000" w:rsidR="00000000" w:rsidRPr="00000000">
        <w:rPr>
          <w:rtl w:val="0"/>
        </w:rPr>
        <w:t xml:space="preserve">the </w:t>
      </w:r>
      <w:r w:rsidDel="00000000" w:rsidR="00000000" w:rsidRPr="00000000">
        <w:rPr>
          <w:i w:val="1"/>
          <w:rtl w:val="0"/>
        </w:rPr>
        <w:t xml:space="preserve">DDH </w:t>
      </w:r>
      <w:r w:rsidDel="00000000" w:rsidR="00000000" w:rsidRPr="00000000">
        <w:rPr>
          <w:rtl w:val="0"/>
        </w:rPr>
        <w:t xml:space="preserve">series is that each volume goes through multiple types of peer review: an early stage of peer-to-peer review conducted on the Manifold platform; additional editorial review by volume editors; and, for special volumes, anonymous external peer review.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Note that even as special volumes are required by the press to undergo external peer review, it would be very rare for the contract not to be approved. Editors of special volumes work closely with the series editors before the project is approved in order to ensure that the volume is a good fit for both the series and the Press. </w:t>
      </w:r>
      <w:r w:rsidDel="00000000" w:rsidR="00000000" w:rsidRPr="00000000">
        <w:rPr>
          <w:rtl w:val="0"/>
        </w:rPr>
      </w:r>
    </w:p>
    <w:p w:rsidR="00000000" w:rsidDel="00000000" w:rsidP="00000000" w:rsidRDefault="00000000" w:rsidRPr="00000000" w14:paraId="00000009">
      <w:pPr>
        <w:pStyle w:val="Heading1"/>
        <w:ind w:left="0" w:firstLine="0"/>
        <w:rPr/>
      </w:pPr>
      <w:bookmarkStart w:colFirst="0" w:colLast="0" w:name="_2z6k9d6uu9ni" w:id="2"/>
      <w:bookmarkEnd w:id="2"/>
      <w:r w:rsidDel="00000000" w:rsidR="00000000" w:rsidRPr="00000000">
        <w:rPr>
          <w:rtl w:val="0"/>
        </w:rPr>
        <w:t xml:space="preserve">Publication Process</w:t>
      </w:r>
    </w:p>
    <w:p w:rsidR="00000000" w:rsidDel="00000000" w:rsidP="00000000" w:rsidRDefault="00000000" w:rsidRPr="00000000" w14:paraId="0000000A">
      <w:pPr>
        <w:ind w:left="0" w:firstLine="0"/>
        <w:rPr/>
      </w:pPr>
      <w:r w:rsidDel="00000000" w:rsidR="00000000" w:rsidRPr="00000000">
        <w:rPr>
          <w:rtl w:val="0"/>
        </w:rPr>
        <w:t xml:space="preserve">How do these steps all fit together? </w:t>
      </w:r>
      <w:r w:rsidDel="00000000" w:rsidR="00000000" w:rsidRPr="00000000">
        <w:rPr>
          <w:rtl w:val="0"/>
        </w:rPr>
        <w:t xml:space="preserve">A sample publication process may look like this: </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numPr>
          <w:ilvl w:val="0"/>
          <w:numId w:val="1"/>
        </w:numPr>
        <w:ind w:left="720" w:hanging="360"/>
        <w:rPr/>
      </w:pPr>
      <w:r w:rsidDel="00000000" w:rsidR="00000000" w:rsidRPr="00000000">
        <w:rPr>
          <w:rtl w:val="0"/>
        </w:rPr>
        <w:t xml:space="preserve">Following the CFP, abstracts are accepted, and volume editors submit a formal book proposal to the Press for external review. </w:t>
      </w:r>
    </w:p>
    <w:p w:rsidR="00000000" w:rsidDel="00000000" w:rsidP="00000000" w:rsidRDefault="00000000" w:rsidRPr="00000000" w14:paraId="0000000D">
      <w:pPr>
        <w:numPr>
          <w:ilvl w:val="0"/>
          <w:numId w:val="1"/>
        </w:numPr>
        <w:ind w:left="720" w:hanging="360"/>
        <w:rPr/>
      </w:pPr>
      <w:r w:rsidDel="00000000" w:rsidR="00000000" w:rsidRPr="00000000">
        <w:rPr>
          <w:rtl w:val="0"/>
        </w:rPr>
        <w:t xml:space="preserve">In the intervening time, authors draft essays. </w:t>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After submitting drafts, peer-to-peer review occurs on Manifold over a three-week window. </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Editors then review peer-to-peer comments, perform editorial review, and send revision requests to contributors.</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Approximately three months after the peer-to-peer review, contributors submit their final essays, along with contributor agreements, permission forms, and other relevant documents. </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For special volumes, an external “confirming review” is done one to three months later, which may result in additional revision requests.</w:t>
      </w:r>
      <w:r w:rsidDel="00000000" w:rsidR="00000000" w:rsidRPr="00000000">
        <w:rPr>
          <w:rtl w:val="0"/>
        </w:rPr>
        <w:t xml:space="preserve">  </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The volume then enters production at the Press, which can take as long as a year. </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Authors </w:t>
      </w:r>
      <w:r w:rsidDel="00000000" w:rsidR="00000000" w:rsidRPr="00000000">
        <w:rPr>
          <w:rtl w:val="0"/>
        </w:rPr>
        <w:t xml:space="preserve">receive</w:t>
      </w:r>
      <w:r w:rsidDel="00000000" w:rsidR="00000000" w:rsidRPr="00000000">
        <w:rPr>
          <w:rtl w:val="0"/>
        </w:rPr>
        <w:t xml:space="preserve"> copyedits and will be asked to approve them. This is the last point where substantive changes can be made. </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Following the copyedit stage, authors receive page proofs and can correct errors at that point. At least 12 months from the final submission date, production is finalized. </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Online open-access publication on Manifold follows three months after  print publication.</w:t>
      </w:r>
    </w:p>
    <w:p w:rsidR="00000000" w:rsidDel="00000000" w:rsidP="00000000" w:rsidRDefault="00000000" w:rsidRPr="00000000" w14:paraId="00000016">
      <w:pPr>
        <w:pStyle w:val="Heading1"/>
        <w:ind w:left="0" w:firstLine="0"/>
        <w:rPr/>
      </w:pPr>
      <w:bookmarkStart w:colFirst="0" w:colLast="0" w:name="_f1eygsp8tibk" w:id="3"/>
      <w:bookmarkEnd w:id="3"/>
      <w:r w:rsidDel="00000000" w:rsidR="00000000" w:rsidRPr="00000000">
        <w:rPr>
          <w:rtl w:val="0"/>
        </w:rPr>
        <w:t xml:space="preserve">Style Guide and Template</w:t>
      </w:r>
    </w:p>
    <w:p w:rsidR="00000000" w:rsidDel="00000000" w:rsidP="00000000" w:rsidRDefault="00000000" w:rsidRPr="00000000" w14:paraId="00000017">
      <w:pPr>
        <w:ind w:left="0" w:firstLine="0"/>
        <w:rPr>
          <w:sz w:val="20"/>
          <w:szCs w:val="20"/>
        </w:rPr>
      </w:pPr>
      <w:r w:rsidDel="00000000" w:rsidR="00000000" w:rsidRPr="00000000">
        <w:rPr>
          <w:rtl w:val="0"/>
        </w:rPr>
        <w:t xml:space="preserve">Here are links to our style guide and template.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dhdebates.g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